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isaiah-1"/>
    <w:p>
      <w:pPr>
        <w:pStyle w:val="Heading1"/>
      </w:pPr>
      <w:r>
        <w:t xml:space="preserve">Homiletics Analysis: Isaiah 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Isaiah 1 functions as the prologue and indictment that opens the entire book. The LORD summons heaven and earth as witnesses (v. 2) and levels a formal covenant lawsuit (</w:t>
      </w:r>
      <w:r>
        <w:rPr>
          <w:i/>
          <w:iCs/>
        </w:rPr>
        <w:t xml:space="preserve">rîb</w:t>
      </w:r>
      <w:r>
        <w:t xml:space="preserve">) against His people Israel. The indictment is sweeping: Israel has rebelled against the God who raised and nurtured them, exceeding in foolishness even the ox and the donkey who know their master (vv. 2–3). The nation is described in terms of thorough corruption — a</w:t>
      </w:r>
      <w:r>
        <w:t xml:space="preserve"> </w:t>
      </w:r>
      <w:r>
        <w:t xml:space="preserve">“sinful nation,”</w:t>
      </w:r>
      <w:r>
        <w:t xml:space="preserve"> </w:t>
      </w:r>
      <w:r>
        <w:t xml:space="preserve">a</w:t>
      </w:r>
      <w:r>
        <w:t xml:space="preserve"> </w:t>
      </w:r>
      <w:r>
        <w:t xml:space="preserve">“people laden with iniquity,”</w:t>
      </w:r>
      <w:r>
        <w:t xml:space="preserve"> </w:t>
      </w:r>
      <w:r>
        <w:t xml:space="preserve">who have</w:t>
      </w:r>
      <w:r>
        <w:t xml:space="preserve"> </w:t>
      </w:r>
      <w:r>
        <w:t xml:space="preserve">“forsaken the LORD”</w:t>
      </w:r>
      <w:r>
        <w:t xml:space="preserve"> </w:t>
      </w:r>
      <w:r>
        <w:t xml:space="preserve">and</w:t>
      </w:r>
      <w:r>
        <w:t xml:space="preserve"> </w:t>
      </w:r>
      <w:r>
        <w:t xml:space="preserve">“despised the Holy One of Israel”</w:t>
      </w:r>
      <w:r>
        <w:t xml:space="preserve"> </w:t>
      </w:r>
      <w:r>
        <w:t xml:space="preserve">(v. 4). The body politic is presented as a wounded body with no healthy part remaining: head to foot, bruises and open sores (vv. 5–6). The land is desolate, cities burned, and only the barest remnant preserved by divine mercy —</w:t>
      </w:r>
      <w:r>
        <w:t xml:space="preserve"> </w:t>
      </w:r>
      <w:r>
        <w:t xml:space="preserve">“a few survivors”</w:t>
      </w:r>
      <w:r>
        <w:t xml:space="preserve"> </w:t>
      </w:r>
      <w:r>
        <w:t xml:space="preserve">compared to Sodom and Gomorrah (vv. 7–9).</w:t>
      </w:r>
    </w:p>
    <w:p>
      <w:pPr>
        <w:pStyle w:val="BodyText"/>
      </w:pPr>
      <w:r>
        <w:t xml:space="preserve">The indictment then turns sharply against Israel’s religion. The very sacrifices, festivals, sabbaths, and prayers that were divinely ordained have become an abomination — not because the forms are wrong, but because the worshippers’ hands are full of blood (vv. 10–15). Ritual has become a substitute for justice, and God will not hear prayers offered by hands that oppress the fatherless and widow. The passage then pivots from indictment to invitation: the LORD calls Israel to</w:t>
      </w:r>
      <w:r>
        <w:t xml:space="preserve"> </w:t>
      </w:r>
      <w:r>
        <w:t xml:space="preserve">“reason together”</w:t>
      </w:r>
      <w:r>
        <w:t xml:space="preserve"> </w:t>
      </w:r>
      <w:r>
        <w:t xml:space="preserve">with Him (v. 18), offering full forgiveness — sins</w:t>
      </w:r>
      <w:r>
        <w:t xml:space="preserve"> </w:t>
      </w:r>
      <w:r>
        <w:t xml:space="preserve">“as scarlet”</w:t>
      </w:r>
      <w:r>
        <w:t xml:space="preserve"> </w:t>
      </w:r>
      <w:r>
        <w:t xml:space="preserve">made</w:t>
      </w:r>
      <w:r>
        <w:t xml:space="preserve"> </w:t>
      </w:r>
      <w:r>
        <w:t xml:space="preserve">“white as snow”</w:t>
      </w:r>
      <w:r>
        <w:t xml:space="preserve"> </w:t>
      </w:r>
      <w:r>
        <w:t xml:space="preserve">— conditioned on a genuine return marked by justice and care for the vulnerable (vv. 16–20). The closing section (vv. 21–31) laments the corruption of Jerusalem, once a faithful city and now a harlot, and announces both judgment on the corrupt and refining redemption for the repentant. The chapter ends with a vision of judgment on idolaters and a promise of shame for those who forsook the LORD.</w:t>
      </w:r>
    </w:p>
    <w:p>
      <w:pPr>
        <w:pStyle w:val="BodyText"/>
      </w:pPr>
      <w:r>
        <w:rPr>
          <w:b/>
          <w:bCs/>
        </w:rPr>
        <w:t xml:space="preserve">This Text — Intent</w:t>
      </w:r>
    </w:p>
    <w:p>
      <w:pPr>
        <w:pStyle w:val="BodyText"/>
      </w:pPr>
      <w:r>
        <w:t xml:space="preserve">God is confronting His covenant people with the full weight of their betrayal — not merely to catalogue sins but to fracture the comfortable assumption that religious observance and divine favor are compatible with persistent injustice and empty hearts. The intent is simultaneously prosecutorial and redemptive: the LORD wants Israel to feel the full horror of what they have become (the rebellious son, the diseased body, the unfaithful city) and then to hear — genuinely hear — that the door remains open. The invitation of verse 18 is not a footnote to the judgment; it is the destination toward which the indictment is aimed. God is not announcing final abandonment; He is pressing His people toward repentance by making the alternative utterly unbearable to contemplate.</w:t>
      </w:r>
    </w:p>
    <w:p>
      <w:r>
        <w:pict>
          <v:rect style="width:0;height:1.5pt" o:hralign="center" o:hrstd="t" o:hr="t"/>
        </w:pict>
      </w:r>
    </w:p>
    <w:p>
      <w:pPr>
        <w:pStyle w:val="FirstParagraph"/>
      </w:pPr>
      <w:r>
        <w:rPr>
          <w:b/>
          <w:bCs/>
        </w:rPr>
        <w:t xml:space="preserve">Subject Sentence:</w:t>
      </w:r>
      <w:r>
        <w:t xml:space="preserve"> </w:t>
      </w:r>
      <w:r>
        <w:t xml:space="preserve">The LORD opens His covenant lawsuit — indicting corrupt religion while holding the door open to full forgiveness.</w:t>
      </w:r>
    </w:p>
    <w:p>
      <w:r>
        <w:pict>
          <v:rect style="width:0;height:1.5pt" o:hralign="center" o:hrstd="t" o:hr="t"/>
        </w:pict>
      </w:r>
    </w:p>
    <w:p>
      <w:pPr>
        <w:pStyle w:val="FirstParagraph"/>
      </w:pPr>
      <w:r>
        <w:rPr>
          <w:b/>
          <w:bCs/>
        </w:rPr>
        <w:t xml:space="preserve">Primary Claim:</w:t>
      </w:r>
      <w:r>
        <w:t xml:space="preserve"> </w:t>
      </w:r>
      <w:r>
        <w:t xml:space="preserve">God is confronting His people with the incompatibility of empty ritual and covenant faithfulness, stripping away every false religious comfort in order to drive them toward the only thing that remains: genuine repentance met by His scandalous offer of complete pardon.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Covenant Lawsuit (</w:t>
      </w:r>
      <w:r>
        <w:rPr>
          <w:b/>
          <w:bCs/>
          <w:i/>
          <w:iCs/>
        </w:rPr>
        <w:t xml:space="preserve">Rîb</w:t>
      </w:r>
      <w:r>
        <w:rPr>
          <w:b/>
          <w:bCs/>
        </w:rPr>
        <w:t xml:space="preserve">) Form</w:t>
      </w:r>
    </w:p>
    <w:p>
      <w:pPr>
        <w:pStyle w:val="BodyText"/>
      </w:pPr>
      <w:r>
        <w:t xml:space="preserve">The opening of Isaiah 1 employs a well-attested Ancient Near Eastern legal form: the</w:t>
      </w:r>
      <w:r>
        <w:t xml:space="preserve"> </w:t>
      </w:r>
      <w:r>
        <w:rPr>
          <w:i/>
          <w:iCs/>
        </w:rPr>
        <w:t xml:space="preserve">rîb</w:t>
      </w:r>
      <w:r>
        <w:t xml:space="preserve">, or covenant lawsuit, in which a suzerain summons witnesses and prosecutes a vassal for treaty violation. The summons of heaven and earth (v. 2) reflects the same structure found in Deuteronomy 32:1 and Micah 6:1–2, where the cosmos itself is called to witness Israel’s breach of covenant. This is not disputed among mainstream evangelical interpreters. The Reformed reading — that this structure reinforces the legal, covenantal frame of Isaiah’s entire ministry — is widely shared. The only pitfall is failing to recognize that the</w:t>
      </w:r>
      <w:r>
        <w:t xml:space="preserve"> </w:t>
      </w:r>
      <w:r>
        <w:rPr>
          <w:i/>
          <w:iCs/>
        </w:rPr>
        <w:t xml:space="preserve">rîb</w:t>
      </w:r>
      <w:r>
        <w:t xml:space="preserve"> </w:t>
      </w:r>
      <w:r>
        <w:t xml:space="preserve">is prosecutorial not terminal: the suzerain’s goal in the ancient treaty lawsuit was restoration, not mere punishment.</w:t>
      </w:r>
    </w:p>
    <w:p>
      <w:pPr>
        <w:pStyle w:val="BodyText"/>
      </w:pPr>
      <w:r>
        <w:rPr>
          <w:b/>
          <w:bCs/>
        </w:rPr>
        <w:t xml:space="preserve">The Critique of Sacrifice and Worship (vv. 10–17)</w:t>
      </w:r>
    </w:p>
    <w:p>
      <w:pPr>
        <w:pStyle w:val="BodyText"/>
      </w:pPr>
      <w:r>
        <w:t xml:space="preserve">This section generates the most significant interpretive divergence. Liberal-critical readings have used this passage, alongside Amos 5:21–24 and Jeremiah 7, to argue that the writing prophets represent a fundamentally different (and superior) religion to the Mosaic cult — that the prophets were opposed to sacrifice and ritual as such, advocating an ethical monotheism that transcended priestly religion. This reading must be</w:t>
      </w:r>
      <w:r>
        <w:t xml:space="preserve"> </w:t>
      </w:r>
      <w:r>
        <w:rPr>
          <w:b/>
          <w:bCs/>
        </w:rPr>
        <w:t xml:space="preserve">refuted</w:t>
      </w:r>
      <w:r>
        <w:t xml:space="preserve">. Isaiah does not say the sacrifices are intrinsically wrong. He says they are wrong</w:t>
      </w:r>
      <w:r>
        <w:t xml:space="preserve"> </w:t>
      </w:r>
      <w:r>
        <w:rPr>
          <w:i/>
          <w:iCs/>
        </w:rPr>
        <w:t xml:space="preserve">from these people at this time</w:t>
      </w:r>
      <w:r>
        <w:t xml:space="preserve"> </w:t>
      </w:r>
      <w:r>
        <w:t xml:space="preserve">— because the worshippers have divorced ritual from covenant fidelity. The indictment of verses 10–17 is not anti-cultic theology; it is an indictment of a specific hypocrisy. The very laws that commanded the sacrifices also commanded justice for the widow and orphan (Deuteronomy 10:18, 24:17–22); Israel was violating both halves of the same covenant.</w:t>
      </w:r>
    </w:p>
    <w:p>
      <w:pPr>
        <w:pStyle w:val="BodyText"/>
      </w:pPr>
      <w:r>
        <w:rPr>
          <w:b/>
          <w:bCs/>
        </w:rPr>
        <w:t xml:space="preserve">Acknowledge</w:t>
      </w:r>
      <w:r>
        <w:t xml:space="preserve">: Wesleyan and broadly evangelical readings rightly emphasize that this passage is one of Scripture’s strongest statements on the integration of social justice with authentic worship. The application emphasis on care for the vulnerable, the widow, the fatherless, and the oppressed is genuinely load-bearing in the text and should not be spiritualized away.</w:t>
      </w:r>
    </w:p>
    <w:p>
      <w:pPr>
        <w:pStyle w:val="BodyText"/>
      </w:pPr>
      <w:r>
        <w:rPr>
          <w:b/>
          <w:bCs/>
        </w:rPr>
        <w:t xml:space="preserve">Qualify</w:t>
      </w:r>
      <w:r>
        <w:t xml:space="preserve">: Some Reformed expositors have been so eager to guard against a</w:t>
      </w:r>
      <w:r>
        <w:t xml:space="preserve"> </w:t>
      </w:r>
      <w:r>
        <w:t xml:space="preserve">“social gospel”</w:t>
      </w:r>
      <w:r>
        <w:t xml:space="preserve"> </w:t>
      </w:r>
      <w:r>
        <w:t xml:space="preserve">reading that they have effectively muted the explicit command of verses 16–17 —</w:t>
      </w:r>
      <w:r>
        <w:t xml:space="preserve"> </w:t>
      </w:r>
      <w:r>
        <w:t xml:space="preserve">“cease to do evil, learn to do good, seek justice, correct oppression, bring justice to the fatherless, plead the widow’s cause.”</w:t>
      </w:r>
      <w:r>
        <w:t xml:space="preserve"> </w:t>
      </w:r>
      <w:r>
        <w:t xml:space="preserve">The text is this concrete and this directive. Qualifying those commands entirely into</w:t>
      </w:r>
      <w:r>
        <w:t xml:space="preserve"> </w:t>
      </w:r>
      <w:r>
        <w:t xml:space="preserve">“what flows from regeneration”</w:t>
      </w:r>
      <w:r>
        <w:t xml:space="preserve"> </w:t>
      </w:r>
      <w:r>
        <w:t xml:space="preserve">drains the passage of its prosecutorial edge.</w:t>
      </w:r>
    </w:p>
    <w:p>
      <w:pPr>
        <w:pStyle w:val="BodyText"/>
      </w:pPr>
      <w:r>
        <w:rPr>
          <w:b/>
          <w:bCs/>
        </w:rPr>
        <w:t xml:space="preserve">Refute</w:t>
      </w:r>
      <w:r>
        <w:t xml:space="preserve">: Any reading that treats the</w:t>
      </w:r>
      <w:r>
        <w:t xml:space="preserve"> </w:t>
      </w:r>
      <w:r>
        <w:t xml:space="preserve">“Come, let us reason together”</w:t>
      </w:r>
      <w:r>
        <w:t xml:space="preserve"> </w:t>
      </w:r>
      <w:r>
        <w:t xml:space="preserve">of verse 18 as a general invitation to intellectual dialogue about religion misses the covenantal and legal context entirely. This is not an invitation to philosophical conversation — it is the judge offering to settle the case before final sentencing is pronounced.</w:t>
      </w:r>
    </w:p>
    <w:p>
      <w:pPr>
        <w:pStyle w:val="BodyText"/>
      </w:pPr>
      <w:r>
        <w:rPr>
          <w:b/>
          <w:bCs/>
        </w:rPr>
        <w:t xml:space="preserve">The</w:t>
      </w:r>
      <w:r>
        <w:rPr>
          <w:b/>
          <w:bCs/>
        </w:rPr>
        <w:t xml:space="preserve"> </w:t>
      </w:r>
      <w:r>
        <w:rPr>
          <w:b/>
          <w:bCs/>
        </w:rPr>
        <w:t xml:space="preserve">“Scarlet as Snow”</w:t>
      </w:r>
      <w:r>
        <w:rPr>
          <w:b/>
          <w:bCs/>
        </w:rPr>
        <w:t xml:space="preserve"> </w:t>
      </w:r>
      <w:r>
        <w:rPr>
          <w:b/>
          <w:bCs/>
        </w:rPr>
        <w:t xml:space="preserve">Invitation (v. 18)</w:t>
      </w:r>
    </w:p>
    <w:p>
      <w:pPr>
        <w:pStyle w:val="BodyText"/>
      </w:pPr>
      <w:r>
        <w:t xml:space="preserve">Arminian and broadly revivalistic traditions have sometimes read verse 18 as an open altar call with the terms of pardon conditional on a human decision preceding divine forgiveness. The Reformed reading is that the call to</w:t>
      </w:r>
      <w:r>
        <w:t xml:space="preserve"> </w:t>
      </w:r>
      <w:r>
        <w:t xml:space="preserve">“reason together”</w:t>
      </w:r>
      <w:r>
        <w:t xml:space="preserve"> </w:t>
      </w:r>
      <w:r>
        <w:t xml:space="preserve">is itself a gracious divine initiative — the LORD is the one who is calling, summoning, and making the offer. The conditionality of verses 19–20 (</w:t>
      </w:r>
      <w:r>
        <w:t xml:space="preserve">“if you are willing and obedient… if you refuse and rebel”</w:t>
      </w:r>
      <w:r>
        <w:t xml:space="preserve">) does not contradict divine sovereignty; it reflects the covenantal structure of promised blessing and threatened curse that runs throughout Deuteronomy and the prophets. The offer is genuinely and freely given; the response is genuinely and seriously required.</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32:1–6</w:t>
      </w:r>
      <w:r>
        <w:t xml:space="preserve"> </w:t>
      </w:r>
      <w:r>
        <w:t xml:space="preserve">— Moses’s Song summons heaven and earth and charges Israel with the same ingratitude and corruption Isaiah will diagnose centuries later; establishes that Isaiah 1 is not a new accusation but the long-predicted fulfillment of covenantal warning.</w:t>
      </w:r>
    </w:p>
    <w:p>
      <w:pPr>
        <w:numPr>
          <w:ilvl w:val="0"/>
          <w:numId w:val="1001"/>
        </w:numPr>
      </w:pPr>
      <w:r>
        <w:rPr>
          <w:b/>
          <w:bCs/>
        </w:rPr>
        <w:t xml:space="preserve">Micah 6:1–8</w:t>
      </w:r>
      <w:r>
        <w:t xml:space="preserve"> </w:t>
      </w:r>
      <w:r>
        <w:t xml:space="preserve">— The closest structural parallel to Isaiah 1’s</w:t>
      </w:r>
      <w:r>
        <w:t xml:space="preserve"> </w:t>
      </w:r>
      <w:r>
        <w:rPr>
          <w:i/>
          <w:iCs/>
        </w:rPr>
        <w:t xml:space="preserve">rîb</w:t>
      </w:r>
      <w:r>
        <w:t xml:space="preserve"> </w:t>
      </w:r>
      <w:r>
        <w:t xml:space="preserve">form;</w:t>
      </w:r>
      <w:r>
        <w:t xml:space="preserve"> </w:t>
      </w:r>
      <w:r>
        <w:t xml:space="preserve">“What does the LORD require of you but to do justice, and to love kindness, and to walk humbly with your God?”</w:t>
      </w:r>
      <w:r>
        <w:t xml:space="preserve"> </w:t>
      </w:r>
      <w:r>
        <w:t xml:space="preserve">grounds the same integration of justice and worship that Isaiah demands, crystallizing the indictment in a single verse.</w:t>
      </w:r>
    </w:p>
    <w:p>
      <w:pPr>
        <w:numPr>
          <w:ilvl w:val="0"/>
          <w:numId w:val="1001"/>
        </w:numPr>
      </w:pPr>
      <w:r>
        <w:rPr>
          <w:b/>
          <w:bCs/>
        </w:rPr>
        <w:t xml:space="preserve">Psalm 51:16–17</w:t>
      </w:r>
      <w:r>
        <w:t xml:space="preserve"> </w:t>
      </w:r>
      <w:r>
        <w:t xml:space="preserve">—</w:t>
      </w:r>
      <w:r>
        <w:t xml:space="preserve"> </w:t>
      </w:r>
      <w:r>
        <w:t xml:space="preserve">“You will not delight in sacrifice… The sacrifices of God are a broken spirit”</w:t>
      </w:r>
      <w:r>
        <w:t xml:space="preserve"> </w:t>
      </w:r>
      <w:r>
        <w:t xml:space="preserve">— David’s own prophetic articulation that the issue is never the form of worship but the heart behind it; canonical parallel to Isaiah 1:11–15.</w:t>
      </w:r>
    </w:p>
    <w:p>
      <w:pPr>
        <w:numPr>
          <w:ilvl w:val="0"/>
          <w:numId w:val="1001"/>
        </w:numPr>
      </w:pPr>
      <w:r>
        <w:rPr>
          <w:b/>
          <w:bCs/>
        </w:rPr>
        <w:t xml:space="preserve">Amos 5:21–24</w:t>
      </w:r>
      <w:r>
        <w:t xml:space="preserve"> </w:t>
      </w:r>
      <w:r>
        <w:t xml:space="preserve">—</w:t>
      </w:r>
      <w:r>
        <w:t xml:space="preserve"> </w:t>
      </w:r>
      <w:r>
        <w:t xml:space="preserve">“I hate, I despise your feasts… but let justice roll down like waters”</w:t>
      </w:r>
      <w:r>
        <w:t xml:space="preserve"> </w:t>
      </w:r>
      <w:r>
        <w:t xml:space="preserve">— the exact same indictment from a near-contemporary prophet, confirming that Isaiah 1 is a pattern in Israel’s prophetic tradition, not an isolated critique.</w:t>
      </w:r>
    </w:p>
    <w:p>
      <w:pPr>
        <w:numPr>
          <w:ilvl w:val="0"/>
          <w:numId w:val="1001"/>
        </w:numPr>
      </w:pPr>
      <w:r>
        <w:rPr>
          <w:b/>
          <w:bCs/>
        </w:rPr>
        <w:t xml:space="preserve">Romans 3:19–26</w:t>
      </w:r>
      <w:r>
        <w:t xml:space="preserve"> </w:t>
      </w:r>
      <w:r>
        <w:t xml:space="preserve">— The prosecutorial logic of Isaiah 1 (every mouth stopped, the whole world accountable) finds its New Testament culmination in Paul’s demonstration that the law’s indictment drives toward the only sufficient righteousness: Christ’s; Isaiah’s</w:t>
      </w:r>
      <w:r>
        <w:t xml:space="preserve"> </w:t>
      </w:r>
      <w:r>
        <w:t xml:space="preserve">“come, let us reason together”</w:t>
      </w:r>
      <w:r>
        <w:t xml:space="preserve"> </w:t>
      </w:r>
      <w:r>
        <w:t xml:space="preserve">becomes the gospel offer in its fullest form.</w:t>
      </w:r>
    </w:p>
    <w:p>
      <w:r>
        <w:pict>
          <v:rect style="width:0;height:1.5pt" o:hralign="center" o:hrstd="t" o:hr="t"/>
        </w:pict>
      </w:r>
    </w:p>
    <w:p>
      <w:pPr>
        <w:pStyle w:val="FirstParagraph"/>
      </w:pPr>
      <w:r>
        <w:rPr>
          <w:b/>
          <w:bCs/>
        </w:rPr>
        <w:t xml:space="preserve">Aim:</w:t>
      </w:r>
      <w:r>
        <w:t xml:space="preserve"> </w:t>
      </w:r>
      <w:r>
        <w:t xml:space="preserve">To bring the reader under the full weight of the indictment — that religious activity without covenant faithfulness is an offense to God, not a comfort — and then to drive them toward the scandalous grace of verse 18 as the only place the case can be settled.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Superscription: Isaiah son of Amoz; visions concerning Judah and Jerusalem; reigns of Uzziah, Jotham, Ahaz, Hezekiah</w:t>
            </w:r>
          </w:p>
        </w:tc>
        <w:tc>
          <w:tcPr/>
          <w:p>
            <w:pPr>
              <w:pStyle w:val="Compact"/>
            </w:pPr>
            <w:r>
              <w:t xml:space="preserve">Dates ministry approximately 740–700 BC; spans a period of political crisis (Assyrian threat, fall of Northern Kingdom)</w:t>
            </w:r>
          </w:p>
        </w:tc>
      </w:tr>
      <w:tr>
        <w:tc>
          <w:tcPr/>
          <w:p>
            <w:pPr>
              <w:pStyle w:val="Compact"/>
            </w:pPr>
            <w:r>
              <w:t xml:space="preserve">2–3</w:t>
            </w:r>
          </w:p>
        </w:tc>
        <w:tc>
          <w:tcPr/>
          <w:p>
            <w:pPr>
              <w:pStyle w:val="Compact"/>
            </w:pPr>
            <w:r>
              <w:t xml:space="preserve">Summons of heaven and earth as witnesses; indictment: Israel has rebelled against the LORD who raised them; even the ox and donkey know their master, but Israel does not know</w:t>
            </w:r>
          </w:p>
        </w:tc>
        <w:tc>
          <w:tcPr/>
          <w:p>
            <w:pPr>
              <w:pStyle w:val="Compact"/>
            </w:pPr>
            <w:r>
              <w:rPr>
                <w:i/>
                <w:iCs/>
              </w:rPr>
              <w:t xml:space="preserve">Rîb</w:t>
            </w:r>
            <w:r>
              <w:t xml:space="preserve"> </w:t>
            </w:r>
            <w:r>
              <w:t xml:space="preserve">(covenant lawsuit) form;</w:t>
            </w:r>
            <w:r>
              <w:t xml:space="preserve"> </w:t>
            </w:r>
            <w:r>
              <w:t xml:space="preserve">“children I have reared and brought up”</w:t>
            </w:r>
            <w:r>
              <w:t xml:space="preserve"> </w:t>
            </w:r>
            <w:r>
              <w:t xml:space="preserve">— parental language deepens the betrayal; ox/donkey contrast is devastatingly ironic</w:t>
            </w:r>
          </w:p>
        </w:tc>
      </w:tr>
      <w:tr>
        <w:tc>
          <w:tcPr/>
          <w:p>
            <w:pPr>
              <w:pStyle w:val="Compact"/>
            </w:pPr>
            <w:r>
              <w:t xml:space="preserve">4</w:t>
            </w:r>
          </w:p>
        </w:tc>
        <w:tc>
          <w:tcPr/>
          <w:p>
            <w:pPr>
              <w:pStyle w:val="Compact"/>
            </w:pPr>
            <w:r>
              <w:t xml:space="preserve">Full indictment statement:</w:t>
            </w:r>
            <w:r>
              <w:t xml:space="preserve"> </w:t>
            </w:r>
            <w:r>
              <w:t xml:space="preserve">“sinful nation, people laden with iniquity, offspring of evildoers, children who deal corruptly”</w:t>
            </w:r>
            <w:r>
              <w:t xml:space="preserve">; they have</w:t>
            </w:r>
            <w:r>
              <w:t xml:space="preserve"> </w:t>
            </w:r>
            <w:r>
              <w:t xml:space="preserve">“forsaken the LORD, despised the Holy One of Israel, and are utterly estranged”</w:t>
            </w:r>
          </w:p>
        </w:tc>
        <w:tc>
          <w:tcPr/>
          <w:p>
            <w:pPr>
              <w:pStyle w:val="Compact"/>
            </w:pPr>
            <w:r>
              <w:t xml:space="preserve">“Holy One of Israel”</w:t>
            </w:r>
            <w:r>
              <w:t xml:space="preserve"> </w:t>
            </w:r>
            <w:r>
              <w:t xml:space="preserve">— characteristic title in Isaiah (appearing ~25 times); the holiness of the one they have despised intensifies the gravity of the rebellion</w:t>
            </w:r>
          </w:p>
        </w:tc>
      </w:tr>
      <w:tr>
        <w:tc>
          <w:tcPr/>
          <w:p>
            <w:pPr>
              <w:pStyle w:val="Compact"/>
            </w:pPr>
            <w:r>
              <w:t xml:space="preserve">5–6</w:t>
            </w:r>
          </w:p>
        </w:tc>
        <w:tc>
          <w:tcPr/>
          <w:p>
            <w:pPr>
              <w:pStyle w:val="Compact"/>
            </w:pPr>
            <w:r>
              <w:t xml:space="preserve">Rhetorical question: why continue to be struck? The whole body is sick — head, heart, wounds not treated</w:t>
            </w:r>
          </w:p>
        </w:tc>
        <w:tc>
          <w:tcPr/>
          <w:p>
            <w:pPr>
              <w:pStyle w:val="Compact"/>
            </w:pPr>
            <w:r>
              <w:t xml:space="preserve">Medical metaphor; the nation is not partially ill but wholly diseased; no healthy part remains</w:t>
            </w:r>
          </w:p>
        </w:tc>
      </w:tr>
      <w:tr>
        <w:tc>
          <w:tcPr/>
          <w:p>
            <w:pPr>
              <w:pStyle w:val="Compact"/>
            </w:pPr>
            <w:r>
              <w:t xml:space="preserve">7–9</w:t>
            </w:r>
          </w:p>
        </w:tc>
        <w:tc>
          <w:tcPr/>
          <w:p>
            <w:pPr>
              <w:pStyle w:val="Compact"/>
            </w:pPr>
            <w:r>
              <w:t xml:space="preserve">The land is desolate, cities burned, foreigners devour the produce; Jerusalem left like a booth in a vineyard; only a</w:t>
            </w:r>
            <w:r>
              <w:t xml:space="preserve"> </w:t>
            </w:r>
            <w:r>
              <w:t xml:space="preserve">“few survivors”</w:t>
            </w:r>
            <w:r>
              <w:t xml:space="preserve"> </w:t>
            </w:r>
            <w:r>
              <w:t xml:space="preserve">left by the LORD of hosts — otherwise like Sodom and Gomorrah</w:t>
            </w:r>
          </w:p>
        </w:tc>
        <w:tc>
          <w:tcPr/>
          <w:p>
            <w:pPr>
              <w:pStyle w:val="Compact"/>
            </w:pPr>
            <w:r>
              <w:t xml:space="preserve">Remnant theology introduced immediately; the survival of any remnant is attributed entirely to divine mercy (</w:t>
            </w:r>
            <w:r>
              <w:t xml:space="preserve">“the LORD of hosts had left us a few survivors”</w:t>
            </w:r>
            <w:r>
              <w:t xml:space="preserve">)</w:t>
            </w:r>
          </w:p>
        </w:tc>
      </w:tr>
      <w:tr>
        <w:tc>
          <w:tcPr/>
          <w:p>
            <w:pPr>
              <w:pStyle w:val="Compact"/>
            </w:pPr>
            <w:r>
              <w:t xml:space="preserve">10–11</w:t>
            </w:r>
          </w:p>
        </w:tc>
        <w:tc>
          <w:tcPr/>
          <w:p>
            <w:pPr>
              <w:pStyle w:val="Compact"/>
            </w:pPr>
            <w:r>
              <w:t xml:space="preserve">Address to Judah as</w:t>
            </w:r>
            <w:r>
              <w:t xml:space="preserve"> </w:t>
            </w:r>
            <w:r>
              <w:t xml:space="preserve">“rulers of Sodom”</w:t>
            </w:r>
            <w:r>
              <w:t xml:space="preserve"> </w:t>
            </w:r>
            <w:r>
              <w:t xml:space="preserve">and</w:t>
            </w:r>
            <w:r>
              <w:t xml:space="preserve"> </w:t>
            </w:r>
            <w:r>
              <w:t xml:space="preserve">“people of Gomorrah”</w:t>
            </w:r>
            <w:r>
              <w:t xml:space="preserve">; rejection of their sacrifices —</w:t>
            </w:r>
            <w:r>
              <w:t xml:space="preserve"> </w:t>
            </w:r>
            <w:r>
              <w:t xml:space="preserve">“I have had enough of burnt offerings”</w:t>
            </w:r>
          </w:p>
        </w:tc>
        <w:tc>
          <w:tcPr/>
          <w:p>
            <w:pPr>
              <w:pStyle w:val="Compact"/>
            </w:pPr>
            <w:r>
              <w:t xml:space="preserve">The Sodom/Gomorrah label connects to vv. 7–9 and heightens the indictment; the critique of sacrifice begins</w:t>
            </w:r>
          </w:p>
        </w:tc>
      </w:tr>
      <w:tr>
        <w:tc>
          <w:tcPr/>
          <w:p>
            <w:pPr>
              <w:pStyle w:val="Compact"/>
            </w:pPr>
            <w:r>
              <w:t xml:space="preserve">12–14</w:t>
            </w:r>
          </w:p>
        </w:tc>
        <w:tc>
          <w:tcPr/>
          <w:p>
            <w:pPr>
              <w:pStyle w:val="Compact"/>
            </w:pPr>
            <w:r>
              <w:t xml:space="preserve">The trampling of courts, the bringing of offerings — all futile and wearying to the LORD; incense is an abomination; appointed feasts, sabbaths, assemblies — all hated</w:t>
            </w:r>
          </w:p>
        </w:tc>
        <w:tc>
          <w:tcPr/>
          <w:p>
            <w:pPr>
              <w:pStyle w:val="Compact"/>
            </w:pPr>
            <w:r>
              <w:t xml:space="preserve">The full range of Mosaic worship is rejected</w:t>
            </w:r>
            <w:r>
              <w:t xml:space="preserve"> </w:t>
            </w:r>
            <w:r>
              <w:rPr>
                <w:i/>
                <w:iCs/>
              </w:rPr>
              <w:t xml:space="preserve">as currently practiced</w:t>
            </w:r>
            <w:r>
              <w:t xml:space="preserve">; the problem is not the forms but the hands that offer them</w:t>
            </w:r>
          </w:p>
        </w:tc>
      </w:tr>
      <w:tr>
        <w:tc>
          <w:tcPr/>
          <w:p>
            <w:pPr>
              <w:pStyle w:val="Compact"/>
            </w:pPr>
            <w:r>
              <w:t xml:space="preserve">15</w:t>
            </w:r>
          </w:p>
        </w:tc>
        <w:tc>
          <w:tcPr/>
          <w:p>
            <w:pPr>
              <w:pStyle w:val="Compact"/>
            </w:pPr>
            <w:r>
              <w:t xml:space="preserve">“When you spread out your hands, I will hide my eyes from you; even though you make many prayers, I will not listen; your hands are full of blood”</w:t>
            </w:r>
          </w:p>
        </w:tc>
        <w:tc>
          <w:tcPr/>
          <w:p>
            <w:pPr>
              <w:pStyle w:val="Compact"/>
            </w:pPr>
            <w:r>
              <w:t xml:space="preserve">Prayer as well as sacrifice is refused; the comprehensive rejection of all religious activity culminates here;</w:t>
            </w:r>
            <w:r>
              <w:t xml:space="preserve"> </w:t>
            </w:r>
            <w:r>
              <w:t xml:space="preserve">“hands full of blood”</w:t>
            </w:r>
            <w:r>
              <w:t xml:space="preserve"> </w:t>
            </w:r>
            <w:r>
              <w:t xml:space="preserve">— both literal (injustice) and ceremonial (sacrificial performance divorced from obedience)</w:t>
            </w:r>
          </w:p>
        </w:tc>
      </w:tr>
      <w:tr>
        <w:tc>
          <w:tcPr/>
          <w:p>
            <w:pPr>
              <w:pStyle w:val="Compact"/>
            </w:pPr>
            <w:r>
              <w:t xml:space="preserve">16–17</w:t>
            </w:r>
          </w:p>
        </w:tc>
        <w:tc>
          <w:tcPr/>
          <w:p>
            <w:pPr>
              <w:pStyle w:val="Compact"/>
            </w:pPr>
            <w:r>
              <w:t xml:space="preserve">Direct imperatives: wash, make yourselves clean, remove evil, cease evil, learn to do good, seek justice, correct oppression, bring justice to the fatherless, plead the widow’s cause</w:t>
            </w:r>
          </w:p>
        </w:tc>
        <w:tc>
          <w:tcPr/>
          <w:p>
            <w:pPr>
              <w:pStyle w:val="Compact"/>
            </w:pPr>
            <w:r>
              <w:t xml:space="preserve">Eight imperatives in two verses; the specificity is deliberate — not generic repentance but concrete covenant fidelity; social justice commands are not an addendum but the substance of the required response</w:t>
            </w:r>
          </w:p>
        </w:tc>
      </w:tr>
      <w:tr>
        <w:tc>
          <w:tcPr/>
          <w:p>
            <w:pPr>
              <w:pStyle w:val="Compact"/>
            </w:pPr>
            <w:r>
              <w:t xml:space="preserve">18</w:t>
            </w:r>
          </w:p>
        </w:tc>
        <w:tc>
          <w:tcPr/>
          <w:p>
            <w:pPr>
              <w:pStyle w:val="Compact"/>
            </w:pPr>
            <w:r>
              <w:t xml:space="preserve">“Come, let us reason together, says the LORD: though your sins are like scarlet, they shall be as white as snow; though they are red like crimson, they shall become like wool”</w:t>
            </w:r>
          </w:p>
        </w:tc>
        <w:tc>
          <w:tcPr/>
          <w:p>
            <w:pPr>
              <w:pStyle w:val="Compact"/>
            </w:pPr>
            <w:r>
              <w:t xml:space="preserve">The central offer of the chapter; scarlet/crimson → white/wool contrast is stark; this is the</w:t>
            </w:r>
            <w:r>
              <w:t xml:space="preserve"> </w:t>
            </w:r>
            <w:r>
              <w:rPr>
                <w:i/>
                <w:iCs/>
              </w:rPr>
              <w:t xml:space="preserve">rîb</w:t>
            </w:r>
            <w:r>
              <w:t xml:space="preserve"> </w:t>
            </w:r>
            <w:r>
              <w:t xml:space="preserve">moving from indictment toward resolution; the magnitude of the offered pardon is proportionate to the magnitude of the indictment</w:t>
            </w:r>
          </w:p>
        </w:tc>
      </w:tr>
      <w:tr>
        <w:tc>
          <w:tcPr/>
          <w:p>
            <w:pPr>
              <w:pStyle w:val="Compact"/>
            </w:pPr>
            <w:r>
              <w:t xml:space="preserve">19–20</w:t>
            </w:r>
          </w:p>
        </w:tc>
        <w:tc>
          <w:tcPr/>
          <w:p>
            <w:pPr>
              <w:pStyle w:val="Compact"/>
            </w:pPr>
            <w:r>
              <w:t xml:space="preserve">Conditionality stated:</w:t>
            </w:r>
            <w:r>
              <w:t xml:space="preserve"> </w:t>
            </w:r>
            <w:r>
              <w:t xml:space="preserve">“if willing and obedient, you shall eat the good of the land; but if you refuse and rebel, you shall be eaten by the sword; for the mouth of the LORD has spoken”</w:t>
            </w:r>
          </w:p>
        </w:tc>
        <w:tc>
          <w:tcPr/>
          <w:p>
            <w:pPr>
              <w:pStyle w:val="Compact"/>
            </w:pPr>
            <w:r>
              <w:t xml:space="preserve">Covenantal blessing and curse pattern (Deuteronomy 28);</w:t>
            </w:r>
            <w:r>
              <w:t xml:space="preserve"> </w:t>
            </w:r>
            <w:r>
              <w:t xml:space="preserve">“the mouth of the LORD has spoken”</w:t>
            </w:r>
            <w:r>
              <w:t xml:space="preserve"> </w:t>
            </w:r>
            <w:r>
              <w:t xml:space="preserve">— the authority of the covenant enforcer; the offer is real, the terms are binding</w:t>
            </w:r>
          </w:p>
        </w:tc>
      </w:tr>
      <w:tr>
        <w:tc>
          <w:tcPr/>
          <w:p>
            <w:pPr>
              <w:pStyle w:val="Compact"/>
            </w:pPr>
            <w:r>
              <w:t xml:space="preserve">21–23</w:t>
            </w:r>
          </w:p>
        </w:tc>
        <w:tc>
          <w:tcPr/>
          <w:p>
            <w:pPr>
              <w:pStyle w:val="Compact"/>
            </w:pPr>
            <w:r>
              <w:t xml:space="preserve">Lament over Jerusalem:</w:t>
            </w:r>
            <w:r>
              <w:t xml:space="preserve"> </w:t>
            </w:r>
            <w:r>
              <w:t xml:space="preserve">“how the faithful city has become a whore”</w:t>
            </w:r>
            <w:r>
              <w:t xml:space="preserve">; once full of justice, now full of murderers; silver corrupted, wine mixed with water; leaders seek bribes, neglect fatherless and widow</w:t>
            </w:r>
          </w:p>
        </w:tc>
        <w:tc>
          <w:tcPr/>
          <w:p>
            <w:pPr>
              <w:pStyle w:val="Compact"/>
            </w:pPr>
            <w:r>
              <w:t xml:space="preserve">Shift to lament form; the catalogue of corruption is given its urban and institutional face — it is the leaders who have failed their covenant obligations most visibly</w:t>
            </w:r>
          </w:p>
        </w:tc>
      </w:tr>
      <w:tr>
        <w:tc>
          <w:tcPr/>
          <w:p>
            <w:pPr>
              <w:pStyle w:val="Compact"/>
            </w:pPr>
            <w:r>
              <w:t xml:space="preserve">24–26</w:t>
            </w:r>
          </w:p>
        </w:tc>
        <w:tc>
          <w:tcPr/>
          <w:p>
            <w:pPr>
              <w:pStyle w:val="Compact"/>
            </w:pPr>
            <w:r>
              <w:t xml:space="preserve">The LORD of hosts will turn His hand against His enemies — even within the city; He will smelt away the dross and restore judges as at the first</w:t>
            </w:r>
          </w:p>
        </w:tc>
        <w:tc>
          <w:tcPr/>
          <w:p>
            <w:pPr>
              <w:pStyle w:val="Compact"/>
            </w:pPr>
            <w:r>
              <w:t xml:space="preserve">Refining metaphor; judgment is not terminal destruction but purification; the goal is restoration of the faithful city</w:t>
            </w:r>
          </w:p>
        </w:tc>
      </w:tr>
      <w:tr>
        <w:tc>
          <w:tcPr/>
          <w:p>
            <w:pPr>
              <w:pStyle w:val="Compact"/>
            </w:pPr>
            <w:r>
              <w:t xml:space="preserve">27–28</w:t>
            </w:r>
          </w:p>
        </w:tc>
        <w:tc>
          <w:tcPr/>
          <w:p>
            <w:pPr>
              <w:pStyle w:val="Compact"/>
            </w:pPr>
            <w:r>
              <w:t xml:space="preserve">“Zion shall be redeemed by justice, and those in her who repent, by righteousness; but rebels and sinners shall be destroyed together, and those who forsake the LORD shall be consumed”</w:t>
            </w:r>
          </w:p>
        </w:tc>
        <w:tc>
          <w:tcPr/>
          <w:p>
            <w:pPr>
              <w:pStyle w:val="Compact"/>
            </w:pPr>
            <w:r>
              <w:t xml:space="preserve">The double outcome: redemption for the repentant, destruction for the unrepentant;</w:t>
            </w:r>
            <w:r>
              <w:t xml:space="preserve"> </w:t>
            </w:r>
            <w:r>
              <w:t xml:space="preserve">“redeemed by justice”</w:t>
            </w:r>
            <w:r>
              <w:t xml:space="preserve"> </w:t>
            </w:r>
            <w:r>
              <w:t xml:space="preserve">does not mean earned redemption but restored covenant order</w:t>
            </w:r>
          </w:p>
        </w:tc>
      </w:tr>
      <w:tr>
        <w:tc>
          <w:tcPr/>
          <w:p>
            <w:pPr>
              <w:pStyle w:val="Compact"/>
            </w:pPr>
            <w:r>
              <w:t xml:space="preserve">29–31</w:t>
            </w:r>
          </w:p>
        </w:tc>
        <w:tc>
          <w:tcPr/>
          <w:p>
            <w:pPr>
              <w:pStyle w:val="Compact"/>
            </w:pPr>
            <w:r>
              <w:t xml:space="preserve">Judgment on those who pursued idolatry under sacred oaks and in gardens; they will be ashamed; the strong man and his work will burn together, with none to quench</w:t>
            </w:r>
          </w:p>
        </w:tc>
        <w:tc>
          <w:tcPr/>
          <w:p>
            <w:pPr>
              <w:pStyle w:val="Compact"/>
            </w:pPr>
            <w:r>
              <w:t xml:space="preserve">Idol worship named explicitly; the final image — unquenchable burning — anticipates the themes of chapters 5, 9, and 66; idolaters are consumed by the very thing they trusted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w:t>
            </w:r>
          </w:p>
        </w:tc>
        <w:tc>
          <w:tcPr/>
          <w:p>
            <w:pPr>
              <w:pStyle w:val="Compact"/>
            </w:pPr>
            <w:r>
              <w:t xml:space="preserve">Superscription: the prophet and his era</w:t>
            </w:r>
          </w:p>
        </w:tc>
      </w:tr>
      <w:tr>
        <w:tc>
          <w:tcPr/>
          <w:p>
            <w:pPr>
              <w:pStyle w:val="Compact"/>
            </w:pPr>
            <w:r>
              <w:t xml:space="preserve">2</w:t>
            </w:r>
          </w:p>
        </w:tc>
        <w:tc>
          <w:tcPr/>
          <w:p>
            <w:pPr>
              <w:pStyle w:val="Compact"/>
            </w:pPr>
            <w:r>
              <w:t xml:space="preserve">2–9</w:t>
            </w:r>
          </w:p>
        </w:tc>
        <w:tc>
          <w:tcPr/>
          <w:p>
            <w:pPr>
              <w:pStyle w:val="Compact"/>
            </w:pPr>
            <w:r>
              <w:t xml:space="preserve">The Indictment: a people who do not know their God</w:t>
            </w:r>
          </w:p>
        </w:tc>
      </w:tr>
      <w:tr>
        <w:tc>
          <w:tcPr/>
          <w:p>
            <w:pPr>
              <w:pStyle w:val="Compact"/>
            </w:pPr>
            <w:r>
              <w:t xml:space="preserve">3</w:t>
            </w:r>
          </w:p>
        </w:tc>
        <w:tc>
          <w:tcPr/>
          <w:p>
            <w:pPr>
              <w:pStyle w:val="Compact"/>
            </w:pPr>
            <w:r>
              <w:t xml:space="preserve">10–17</w:t>
            </w:r>
          </w:p>
        </w:tc>
        <w:tc>
          <w:tcPr/>
          <w:p>
            <w:pPr>
              <w:pStyle w:val="Compact"/>
            </w:pPr>
            <w:r>
              <w:t xml:space="preserve">The Indictment Extended: corrupt religion rejected</w:t>
            </w:r>
          </w:p>
        </w:tc>
      </w:tr>
      <w:tr>
        <w:tc>
          <w:tcPr/>
          <w:p>
            <w:pPr>
              <w:pStyle w:val="Compact"/>
            </w:pPr>
            <w:r>
              <w:t xml:space="preserve">4</w:t>
            </w:r>
          </w:p>
        </w:tc>
        <w:tc>
          <w:tcPr/>
          <w:p>
            <w:pPr>
              <w:pStyle w:val="Compact"/>
            </w:pPr>
            <w:r>
              <w:t xml:space="preserve">18–20</w:t>
            </w:r>
          </w:p>
        </w:tc>
        <w:tc>
          <w:tcPr/>
          <w:p>
            <w:pPr>
              <w:pStyle w:val="Compact"/>
            </w:pPr>
            <w:r>
              <w:t xml:space="preserve">The Invitation: reason together — full pardon offered</w:t>
            </w:r>
          </w:p>
        </w:tc>
      </w:tr>
      <w:tr>
        <w:tc>
          <w:tcPr/>
          <w:p>
            <w:pPr>
              <w:pStyle w:val="Compact"/>
            </w:pPr>
            <w:r>
              <w:t xml:space="preserve">5</w:t>
            </w:r>
          </w:p>
        </w:tc>
        <w:tc>
          <w:tcPr/>
          <w:p>
            <w:pPr>
              <w:pStyle w:val="Compact"/>
            </w:pPr>
            <w:r>
              <w:t xml:space="preserve">21–31</w:t>
            </w:r>
          </w:p>
        </w:tc>
        <w:tc>
          <w:tcPr/>
          <w:p>
            <w:pPr>
              <w:pStyle w:val="Compact"/>
            </w:pPr>
            <w:r>
              <w:t xml:space="preserve">The Verdict and Vision: judgment, refining, and the double outcome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opens His covenant lawsuit — indicting corrupt religion while holding the door open to full forgiveness.</w:t>
      </w:r>
    </w:p>
    <w:p>
      <w:pPr>
        <w:pStyle w:val="BodyText"/>
      </w:pPr>
      <w:r>
        <w:rPr>
          <w:b/>
          <w:bCs/>
        </w:rPr>
        <w:t xml:space="preserve">Primary Claim:</w:t>
      </w:r>
      <w:r>
        <w:t xml:space="preserve"> </w:t>
      </w:r>
      <w:r>
        <w:t xml:space="preserve">God is confronting His people with the incompatibility of empty ritual and covenant faithfulness, stripping away every false religious comfort in order to drive them toward the only thing that remains: genuine repentance met by His scandalous offer of complete pardon.</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what your religious activity is actually covering.</w:t>
      </w:r>
      <w:r>
        <w:t xml:space="preserve"> </w:t>
      </w:r>
      <w:r>
        <w:rPr>
          <w:i/>
          <w:iCs/>
        </w:rPr>
        <w:t xml:space="preserve">(Mind/Belief)</w:t>
      </w:r>
      <w:r>
        <w:t xml:space="preserve"> </w:t>
      </w:r>
      <w:r>
        <w:t xml:space="preserve">Israel was offering sacrifices, observing sabbaths, spreading their hands in prayer — and God said: stop. The activity had become a substitute for the relationship it was meant to express, and worse, a cover for the injustice being practiced the other six days. The diagnostic question for every believer is not</w:t>
      </w:r>
      <w:r>
        <w:t xml:space="preserve"> </w:t>
      </w:r>
      <w:r>
        <w:t xml:space="preserve">“Am I performing the religious forms?”</w:t>
      </w:r>
      <w:r>
        <w:t xml:space="preserve"> </w:t>
      </w:r>
      <w:r>
        <w:t xml:space="preserve">but</w:t>
      </w:r>
      <w:r>
        <w:t xml:space="preserve"> </w:t>
      </w:r>
      <w:r>
        <w:t xml:space="preserve">“Is my religious activity a genuine expression of a heart yielded to God, or is it a comfort that lets me ignore what my hands are doing?”</w:t>
      </w:r>
      <w:r>
        <w:t xml:space="preserve"> </w:t>
      </w:r>
      <w:r>
        <w:t xml:space="preserve">Isaiah 1 exposes a specific pattern of self-deception: the more corrupt the life, the more urgent the religious performance becomes. The forms are used to suppress the guilt the forms cannot actually address.</w:t>
      </w:r>
    </w:p>
    <w:p>
      <w:pPr>
        <w:pStyle w:val="BodyText"/>
      </w:pPr>
      <w:r>
        <w:rPr>
          <w:b/>
          <w:bCs/>
        </w:rPr>
        <w:t xml:space="preserve">2. Feel the weight of being known by a God who will not be fooled.</w:t>
      </w:r>
      <w:r>
        <w:t xml:space="preserve"> </w:t>
      </w:r>
      <w:r>
        <w:rPr>
          <w:i/>
          <w:iCs/>
        </w:rPr>
        <w:t xml:space="preserve">(Affections/Worship)</w:t>
      </w:r>
      <w:r>
        <w:t xml:space="preserve"> </w:t>
      </w:r>
      <w:r>
        <w:t xml:space="preserve">The LORD addresses Israel as</w:t>
      </w:r>
      <w:r>
        <w:t xml:space="preserve"> </w:t>
      </w:r>
      <w:r>
        <w:t xml:space="preserve">“my children”</w:t>
      </w:r>
      <w:r>
        <w:t xml:space="preserve"> </w:t>
      </w:r>
      <w:r>
        <w:t xml:space="preserve">in verse 2 and then says their rebellion is worse than a donkey’s. The parental grief in that comparison is deliberate and devastating. This is not a distant deity delivering a legal brief — this is the Father who raised them, speaking with the combination of grief and fury that only a parent betrayed by a beloved child can produce. The worshipper who reads Isaiah 1 carefully should feel, before anything else, the relational weight of what sin does to the covenant — not merely the legal consequences but the rupture of a relationship that God Himself initiated and sustained. The</w:t>
      </w:r>
      <w:r>
        <w:t xml:space="preserve"> </w:t>
      </w:r>
      <w:r>
        <w:t xml:space="preserve">“Holy One of Israel”</w:t>
      </w:r>
      <w:r>
        <w:t xml:space="preserve"> </w:t>
      </w:r>
      <w:r>
        <w:t xml:space="preserve">is not just the Holy One</w:t>
      </w:r>
      <w:r>
        <w:t xml:space="preserve"> </w:t>
      </w:r>
      <w:r>
        <w:rPr>
          <w:i/>
          <w:iCs/>
        </w:rPr>
        <w:t xml:space="preserve">in general</w:t>
      </w:r>
      <w:r>
        <w:t xml:space="preserve"> </w:t>
      </w:r>
      <w:r>
        <w:t xml:space="preserve">— He is the one who bound Himself to them and was despised for it.</w:t>
      </w:r>
    </w:p>
    <w:p>
      <w:pPr>
        <w:pStyle w:val="BodyText"/>
      </w:pPr>
      <w:r>
        <w:rPr>
          <w:b/>
          <w:bCs/>
        </w:rPr>
        <w:t xml:space="preserve">3. Take concrete action toward the specific vulnerable person your life currently overlooks.</w:t>
      </w:r>
      <w:r>
        <w:t xml:space="preserve"> </w:t>
      </w:r>
      <w:r>
        <w:rPr>
          <w:i/>
          <w:iCs/>
        </w:rPr>
        <w:t xml:space="preserve">(Will/Behavior)</w:t>
      </w:r>
      <w:r>
        <w:t xml:space="preserve"> </w:t>
      </w:r>
      <w:r>
        <w:t xml:space="preserve">Verses 16–17 are not general exhortations toward spiritual improvement. They name categories of person: the fatherless, the widow, the oppressed. The command is to</w:t>
      </w:r>
      <w:r>
        <w:t xml:space="preserve"> </w:t>
      </w:r>
      <w:r>
        <w:t xml:space="preserve">“seek justice, correct oppression, bring justice to the fatherless, plead the widow’s cause.”</w:t>
      </w:r>
      <w:r>
        <w:t xml:space="preserve"> </w:t>
      </w:r>
      <w:r>
        <w:t xml:space="preserve">This is not an abstract social policy position — it is a personal, relational obligation to identifiable people in actual need. The application is this specific: who is the widow, the orphan, the oppressed person in the actual range of your daily life whom you are currently walking past? Isaiah’s indictment of Israel is that their religion never touched their neighbor. The repentance the LORD requires is the kind that moves your hands.</w:t>
      </w:r>
    </w:p>
    <w:p>
      <w:pPr>
        <w:pStyle w:val="BodyText"/>
      </w:pPr>
      <w:r>
        <w:rPr>
          <w:b/>
          <w:bCs/>
        </w:rPr>
        <w:t xml:space="preserve">4. Receive the offer of verse 18 as the destination the entire indictment is building toward.</w:t>
      </w:r>
      <w:r>
        <w:t xml:space="preserve"> </w:t>
      </w:r>
      <w:r>
        <w:rPr>
          <w:i/>
          <w:iCs/>
        </w:rPr>
        <w:t xml:space="preserve">(Affections/Worship)</w:t>
      </w:r>
      <w:r>
        <w:t xml:space="preserve"> </w:t>
      </w:r>
      <w:r>
        <w:t xml:space="preserve">The severity of Isaiah 1 has a purpose: it is meant to make verse 18 feel like oxygen to someone drowning.</w:t>
      </w:r>
      <w:r>
        <w:t xml:space="preserve"> </w:t>
      </w:r>
      <w:r>
        <w:t xml:space="preserve">“Though your sins are like scarlet, they shall be as white as snow.”</w:t>
      </w:r>
      <w:r>
        <w:t xml:space="preserve"> </w:t>
      </w:r>
      <w:r>
        <w:t xml:space="preserve">The magnitude of the pardon is proportionate to the magnitude of the indictment — the chapter does not accumulate the horror of Israel’s sin in order to leave the reader in despair, but in order to make the offered cleansing comprehensible in its full scale. A reader who has felt verses 2–17 deeply will hear verse 18 differently than someone who skipped to the comfort. The homiletical movement is intentional: God wants His people to understand what they are being forgiven of so they understand what they are being given.</w:t>
      </w:r>
    </w:p>
    <w:p>
      <w:pPr>
        <w:pStyle w:val="BodyText"/>
      </w:pPr>
      <w:r>
        <w:rPr>
          <w:b/>
          <w:bCs/>
        </w:rPr>
        <w:t xml:space="preserve">5. Stop treating religious performance as the currency of God’s favor and start treating obedience as the fruit of His grace.</w:t>
      </w:r>
      <w:r>
        <w:t xml:space="preserve"> </w:t>
      </w:r>
      <w:r>
        <w:rPr>
          <w:i/>
          <w:iCs/>
        </w:rPr>
        <w:t xml:space="preserve">(Mind/Belief)</w:t>
      </w:r>
      <w:r>
        <w:t xml:space="preserve"> </w:t>
      </w:r>
      <w:r>
        <w:t xml:space="preserve">The collapse Isaiah describes — sacrifices multiplied while justice is absent, prayers offered while hands are full of blood — is not a failure of ignorance but a failure of substitution. Israel had developed a functioning religious economy that effectively replaced the covenant with a performance-based transaction: offer the sacrifice, discharge the obligation, return to ordinary life unchanged. The corrective is not to reform the religious performance but to relocate its source — genuine worship flows from a heart that has encountered the Holy One of Israel and been changed. The eight imperatives of verses 16–17 are not the mechanism of earning favor; they are the description of what a life looks like when the pardon of verse 18 has actually been received.</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Isaiah 1 establishes what the entire book will develop: the LORD is the</w:t>
      </w:r>
      <w:r>
        <w:t xml:space="preserve"> </w:t>
      </w:r>
      <w:r>
        <w:t xml:space="preserve">“Holy One of Israel”</w:t>
      </w:r>
      <w:r>
        <w:t xml:space="preserve"> </w:t>
      </w:r>
      <w:r>
        <w:t xml:space="preserve">— a God of absolute moral integrity who cannot be manipulated by religious performance and will not share His glory with the idols of an unjust people. The passage teaches that God’s holiness is not a cold legal attribute but a relational reality — expressed in grief over a rebellious child, in fury at the corruption of His city, and in the stunning mercy of offering full pardon to those who return. The critique of sacrifice teaches that God evaluates the whole life, not the compartment labeled</w:t>
      </w:r>
      <w:r>
        <w:t xml:space="preserve"> </w:t>
      </w:r>
      <w:r>
        <w:t xml:space="preserve">“religion,”</w:t>
      </w:r>
      <w:r>
        <w:t xml:space="preserve"> </w:t>
      </w:r>
      <w:r>
        <w:t xml:space="preserve">and that worship divorced from justice is not neutral but actively offensive to Him. The remnant theology introduced in verse 9 establishes that judgment and grace are not competing principles but simultaneous divine acts — the same God who judges preserves, and the preservation is mercy, not merit.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Isaiah 1 is foundational to the Reformed understanding of total depravity and the comprehensive scope of the covenant. The description of Israel — diseased from head to foot, no healthy part remaining — is not hyperbole but diagnosis, and it maps directly onto Paul’s use of the prophets in Romans 3 to demonstrate universal human guilt. The chapter also provides crucial grounding for the Reformed integration of justification and justice: God does not divide the gospel from its social and ethical fruit, and the indictment of Israel shows that a faith that produces no change in how we treat the vulnerable is a faith that has not yet encountered the Holy One. The invitation of verse 18 —</w:t>
      </w:r>
      <w:r>
        <w:t xml:space="preserve"> </w:t>
      </w:r>
      <w:r>
        <w:t xml:space="preserve">“let us reason together”</w:t>
      </w:r>
      <w:r>
        <w:t xml:space="preserve"> </w:t>
      </w:r>
      <w:r>
        <w:t xml:space="preserve">— is a model of the Reformed understanding of evangelism: God is the one who initiates, summons, and offers; the human response of repentance and faith is genuinely required but is itself called forth by divine grace. The double outcome of verses 27–31 — redemption for the repentant and destruction for the unrepentant — reflects the Reformed conviction that God’s purposes in history include both the salvation of the elect and the just judgment of those who persistently refuse His covenant.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Your religious activity is not protecting you — it is exposing you. The LORD who sees the blood on your hands is not impressed by the offerings you bring with them. But the same LORD who levels that indictment makes this offer: come, let us settle this. Scarlet can become white. Crimson can become wool. The only question is whether you will come — or keep pretending the sacrifices are working.</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Using the critique of ritual to dismiss the importance of corporate worship.</w:t>
      </w:r>
      <w:r>
        <w:t xml:space="preserve"> </w:t>
      </w:r>
      <w:r>
        <w:t xml:space="preserve">Isaiah’s indictment is not against sabbaths, sacrifices, and assemblies as such — it is against sabbaths, sacrifices, and assemblies practiced by people whose lives show no evidence of covenant transformation. The passage does not support a</w:t>
      </w:r>
      <w:r>
        <w:t xml:space="preserve"> </w:t>
      </w:r>
      <w:r>
        <w:t xml:space="preserve">“spiritual but not religious”</w:t>
      </w:r>
      <w:r>
        <w:t xml:space="preserve"> </w:t>
      </w:r>
      <w:r>
        <w:t xml:space="preserve">posture or a critique of liturgical and sacramental worship</w:t>
      </w:r>
      <w:r>
        <w:t xml:space="preserve"> </w:t>
      </w:r>
      <w:r>
        <w:rPr>
          <w:i/>
          <w:iCs/>
        </w:rPr>
        <w:t xml:space="preserve">per se</w:t>
      </w:r>
      <w:r>
        <w:t xml:space="preserve">. Preachers who use Isaiah 1 to validate anti-institutional instincts are misreading the indictment — the problem is hypocrisy and injustice, not the forms themselves.</w:t>
      </w:r>
    </w:p>
    <w:p>
      <w:pPr>
        <w:numPr>
          <w:ilvl w:val="0"/>
          <w:numId w:val="1002"/>
        </w:numPr>
      </w:pPr>
      <w:r>
        <w:rPr>
          <w:b/>
          <w:bCs/>
        </w:rPr>
        <w:t xml:space="preserve">Stopping at the indictment and never arriving at the invitation.</w:t>
      </w:r>
      <w:r>
        <w:t xml:space="preserve"> </w:t>
      </w:r>
      <w:r>
        <w:t xml:space="preserve">Isaiah 1 is a chapter that can be preached as pure law — the sin, the disease, the harlotry, the coming judgment — without ever pressing through to verse 18. This is a structural failure. The</w:t>
      </w:r>
      <w:r>
        <w:t xml:space="preserve"> </w:t>
      </w:r>
      <w:r>
        <w:rPr>
          <w:i/>
          <w:iCs/>
        </w:rPr>
        <w:t xml:space="preserve">rîb</w:t>
      </w:r>
      <w:r>
        <w:t xml:space="preserve"> </w:t>
      </w:r>
      <w:r>
        <w:t xml:space="preserve">form is designed to create urgency toward resolution, not despair at condemnation. A sermon that ends before</w:t>
      </w:r>
      <w:r>
        <w:t xml:space="preserve"> </w:t>
      </w:r>
      <w:r>
        <w:t xml:space="preserve">“come, let us reason together”</w:t>
      </w:r>
      <w:r>
        <w:t xml:space="preserve"> </w:t>
      </w:r>
      <w:r>
        <w:t xml:space="preserve">has abandoned the passage’s own intent. The indictment is the setup; the invitation is the point.</w:t>
      </w:r>
    </w:p>
    <w:p>
      <w:pPr>
        <w:numPr>
          <w:ilvl w:val="0"/>
          <w:numId w:val="1002"/>
        </w:numPr>
      </w:pPr>
      <w:r>
        <w:rPr>
          <w:b/>
          <w:bCs/>
        </w:rPr>
        <w:t xml:space="preserve">Moralizing the application by reducing the chapter to</w:t>
      </w:r>
      <w:r>
        <w:rPr>
          <w:b/>
          <w:bCs/>
        </w:rPr>
        <w:t xml:space="preserve"> </w:t>
      </w:r>
      <w:r>
        <w:rPr>
          <w:b/>
          <w:bCs/>
        </w:rPr>
        <w:t xml:space="preserve">“be more just.”</w:t>
      </w:r>
      <w:r>
        <w:t xml:space="preserve"> </w:t>
      </w:r>
      <w:r>
        <w:t xml:space="preserve">The eight imperatives of verses 16–17 are real and specific and must be applied — but if the application is only behavioral (do more justice, help more widows), the preacher has produced law without gospel. The imperatives flow from the covenant relationship and are properly motivated by the pardon of verse 18, not merely demanded as conditions of it. Application must be grounded in what God has done and what He is offering before it moves to what He requires.</w:t>
      </w:r>
    </w:p>
    <w:p>
      <w:pPr>
        <w:numPr>
          <w:ilvl w:val="0"/>
          <w:numId w:val="1002"/>
        </w:numPr>
      </w:pPr>
      <w:r>
        <w:rPr>
          <w:b/>
          <w:bCs/>
        </w:rPr>
        <w:t xml:space="preserve">Treating verse 18 as a generic evangelistic altar call.</w:t>
      </w:r>
      <w:r>
        <w:t xml:space="preserve"> </w:t>
      </w:r>
      <w:r>
        <w:t xml:space="preserve">“Come now, let us reason together”</w:t>
      </w:r>
      <w:r>
        <w:t xml:space="preserve"> </w:t>
      </w:r>
      <w:r>
        <w:t xml:space="preserve">is addressed to covenant Israel already in relationship with God — it is not primarily an evangelistic invitation to unbelievers but a summons to God’s people to return from their rebellion. The application to unbelievers is legitimate by extension but should not flatten the specifically covenantal address of the verse. The primary audience of this chapter is the church, not the street corner.</w:t>
      </w:r>
    </w:p>
    <w:p>
      <w:pPr>
        <w:numPr>
          <w:ilvl w:val="0"/>
          <w:numId w:val="1002"/>
        </w:numPr>
      </w:pPr>
      <w:r>
        <w:rPr>
          <w:b/>
          <w:bCs/>
        </w:rPr>
        <w:t xml:space="preserve">Separating the social justice commands (vv. 16–17) from their theological grounding.</w:t>
      </w:r>
      <w:r>
        <w:t xml:space="preserve"> </w:t>
      </w:r>
      <w:r>
        <w:t xml:space="preserve">Progressive and theologically liberal expositors sometimes use Isaiah 1 as a proof text for social justice advocacy while disconnecting it from the covenant framework, the call to repentance, and the theological claim about the Holy One of Israel. The justice commands in this chapter are not free-floating ethical demands — they are covenant obligations flowing from the character of the God who is Israel’s suzerain and whose own justice is the standard. Detach them from that framework and they become a political program rather than a theological imperative.</w:t>
      </w:r>
    </w:p>
    <w:p>
      <w:pPr>
        <w:numPr>
          <w:ilvl w:val="0"/>
          <w:numId w:val="1002"/>
        </w:numPr>
      </w:pPr>
      <w:r>
        <w:rPr>
          <w:b/>
          <w:bCs/>
        </w:rPr>
        <w:t xml:space="preserve">Failing to apply the</w:t>
      </w:r>
      <w:r>
        <w:rPr>
          <w:b/>
          <w:bCs/>
        </w:rPr>
        <w:t xml:space="preserve"> </w:t>
      </w:r>
      <w:r>
        <w:rPr>
          <w:b/>
          <w:bCs/>
        </w:rPr>
        <w:t xml:space="preserve">“ox and donkey”</w:t>
      </w:r>
      <w:r>
        <w:rPr>
          <w:b/>
          <w:bCs/>
        </w:rPr>
        <w:t xml:space="preserve"> </w:t>
      </w:r>
      <w:r>
        <w:rPr>
          <w:b/>
          <w:bCs/>
        </w:rPr>
        <w:t xml:space="preserve">comparison with full force.</w:t>
      </w:r>
      <w:r>
        <w:t xml:space="preserve"> </w:t>
      </w:r>
      <w:r>
        <w:t xml:space="preserve">The irony of verses 2–3 is devastating: animals know their owner, but Israel does not. Preachers often note this comparison in passing without letting it land. The point is that Israel’s rebellion is worse than animal stupidity — it is a perverse refusal to know what even instinct would teach. Applied to the congregation, the question is not</w:t>
      </w:r>
      <w:r>
        <w:t xml:space="preserve"> </w:t>
      </w:r>
      <w:r>
        <w:t xml:space="preserve">“are you doing religious things?”</w:t>
      </w:r>
      <w:r>
        <w:t xml:space="preserve"> </w:t>
      </w:r>
      <w:r>
        <w:t xml:space="preserve">but</w:t>
      </w:r>
      <w:r>
        <w:t xml:space="preserve"> </w:t>
      </w:r>
      <w:r>
        <w:t xml:space="preserve">“do you actually</w:t>
      </w:r>
      <w:r>
        <w:t xml:space="preserve"> </w:t>
      </w:r>
      <w:r>
        <w:rPr>
          <w:i/>
          <w:iCs/>
        </w:rPr>
        <w:t xml:space="preserve">know</w:t>
      </w:r>
      <w:r>
        <w:t xml:space="preserve"> </w:t>
      </w:r>
      <w:r>
        <w:t xml:space="preserve">the one you are worshipping?”</w:t>
      </w:r>
      <w:r>
        <w:t xml:space="preserve"> </w:t>
      </w:r>
      <w:r>
        <w:t xml:space="preserve">Isaiah’s indictment cuts at knowledge, not merely at behavior.</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2026-07-14T21:05:27Z</dcterms:created>
  <dcterms:modified xsi:type="dcterms:W3CDTF">2026-07-14T21:05:27Z</dcterms:modified>
</cp:coreProperties>
</file>

<file path=docProps/custom.xml><?xml version="1.0" encoding="utf-8"?>
<Properties xmlns="http://schemas.openxmlformats.org/officeDocument/2006/custom-properties" xmlns:vt="http://schemas.openxmlformats.org/officeDocument/2006/docPropsVTypes"/>
</file>